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05CFC" w14:textId="7B678890" w:rsidR="005F4554" w:rsidRDefault="00F1059F">
      <w:pPr>
        <w:rPr>
          <w:b/>
          <w:bCs/>
        </w:rPr>
      </w:pPr>
      <w:r w:rsidRPr="00A81737">
        <w:rPr>
          <w:b/>
          <w:bCs/>
        </w:rPr>
        <w:t>AP Macroeconomics Syllabus</w:t>
      </w:r>
    </w:p>
    <w:p w14:paraId="4DEEE3A3" w14:textId="11040E00" w:rsidR="00A81737" w:rsidRDefault="00A81737">
      <w:pPr>
        <w:rPr>
          <w:b/>
          <w:bCs/>
        </w:rPr>
      </w:pPr>
      <w:hyperlink r:id="rId5" w:history="1">
        <w:r w:rsidRPr="00F84B35">
          <w:rPr>
            <w:rStyle w:val="Hyperlink"/>
            <w:b/>
            <w:bCs/>
          </w:rPr>
          <w:t>polly.jones@leusd.k12.ca.us</w:t>
        </w:r>
      </w:hyperlink>
    </w:p>
    <w:p w14:paraId="257DC7C5" w14:textId="259FDBDF" w:rsidR="00A81737" w:rsidRDefault="00A81737">
      <w:pPr>
        <w:rPr>
          <w:b/>
          <w:bCs/>
        </w:rPr>
      </w:pPr>
      <w:r>
        <w:rPr>
          <w:b/>
          <w:bCs/>
        </w:rPr>
        <w:t>lancerjones.weebly.com</w:t>
      </w:r>
    </w:p>
    <w:p w14:paraId="1B0D8B77" w14:textId="77777777" w:rsidR="00C7570B" w:rsidRPr="00A81737" w:rsidRDefault="00C7570B">
      <w:pPr>
        <w:rPr>
          <w:b/>
          <w:bCs/>
          <w:sz w:val="22"/>
          <w:szCs w:val="22"/>
        </w:rPr>
      </w:pPr>
    </w:p>
    <w:p w14:paraId="578377F0" w14:textId="77777777" w:rsidR="00A81737" w:rsidRPr="00A81737" w:rsidRDefault="00A81737" w:rsidP="00A81737">
      <w:pPr>
        <w:tabs>
          <w:tab w:val="center" w:pos="4320"/>
          <w:tab w:val="left" w:pos="6990"/>
        </w:tabs>
        <w:rPr>
          <w:b/>
          <w:sz w:val="22"/>
          <w:szCs w:val="22"/>
        </w:rPr>
      </w:pPr>
      <w:r w:rsidRPr="00A81737">
        <w:rPr>
          <w:b/>
          <w:sz w:val="22"/>
          <w:szCs w:val="22"/>
        </w:rPr>
        <w:t xml:space="preserve">Textbook </w:t>
      </w:r>
    </w:p>
    <w:p w14:paraId="699D09DA" w14:textId="77777777" w:rsidR="00A81737" w:rsidRPr="00C661E1" w:rsidRDefault="00A81737" w:rsidP="00A81737">
      <w:pPr>
        <w:tabs>
          <w:tab w:val="center" w:pos="4320"/>
          <w:tab w:val="left" w:pos="6990"/>
        </w:tabs>
        <w:rPr>
          <w:i/>
          <w:sz w:val="20"/>
          <w:szCs w:val="20"/>
        </w:rPr>
      </w:pPr>
      <w:proofErr w:type="gramStart"/>
      <w:r w:rsidRPr="00C661E1">
        <w:rPr>
          <w:sz w:val="20"/>
          <w:szCs w:val="20"/>
        </w:rPr>
        <w:t>Campbell  R.</w:t>
      </w:r>
      <w:proofErr w:type="gramEnd"/>
      <w:r w:rsidRPr="00C661E1">
        <w:rPr>
          <w:sz w:val="20"/>
          <w:szCs w:val="20"/>
        </w:rPr>
        <w:t xml:space="preserve"> McConnell and Stanley L. Brue.  </w:t>
      </w:r>
      <w:r w:rsidRPr="00C661E1">
        <w:rPr>
          <w:i/>
          <w:sz w:val="20"/>
          <w:szCs w:val="20"/>
        </w:rPr>
        <w:t xml:space="preserve">Economics: Principles, Problems, and Policies </w:t>
      </w:r>
      <w:r w:rsidRPr="00C661E1">
        <w:rPr>
          <w:sz w:val="20"/>
          <w:szCs w:val="20"/>
        </w:rPr>
        <w:t>(New York: McGraw-Hill Irwin, 2007)</w:t>
      </w:r>
    </w:p>
    <w:p w14:paraId="488FDDF7" w14:textId="77777777" w:rsidR="00A81737" w:rsidRPr="00A81737" w:rsidRDefault="00A81737" w:rsidP="00A81737">
      <w:pPr>
        <w:tabs>
          <w:tab w:val="center" w:pos="4320"/>
          <w:tab w:val="left" w:pos="6990"/>
        </w:tabs>
        <w:rPr>
          <w:sz w:val="22"/>
          <w:szCs w:val="22"/>
        </w:rPr>
      </w:pPr>
    </w:p>
    <w:p w14:paraId="52432A8A" w14:textId="77777777" w:rsidR="00A81737" w:rsidRPr="00A81737" w:rsidRDefault="00A81737" w:rsidP="00A81737">
      <w:pPr>
        <w:tabs>
          <w:tab w:val="center" w:pos="4320"/>
          <w:tab w:val="left" w:pos="6990"/>
        </w:tabs>
        <w:rPr>
          <w:b/>
          <w:sz w:val="22"/>
          <w:szCs w:val="22"/>
        </w:rPr>
      </w:pPr>
      <w:r w:rsidRPr="00A81737">
        <w:rPr>
          <w:b/>
          <w:sz w:val="22"/>
          <w:szCs w:val="22"/>
        </w:rPr>
        <w:t>Additional Readings</w:t>
      </w:r>
    </w:p>
    <w:p w14:paraId="75898BB5" w14:textId="5F9BAF7D" w:rsidR="00A81737" w:rsidRPr="00C661E1" w:rsidRDefault="00A81737" w:rsidP="00A81737">
      <w:pPr>
        <w:tabs>
          <w:tab w:val="center" w:pos="4320"/>
          <w:tab w:val="left" w:pos="6990"/>
        </w:tabs>
        <w:rPr>
          <w:sz w:val="20"/>
          <w:szCs w:val="20"/>
        </w:rPr>
      </w:pPr>
      <w:r w:rsidRPr="00C661E1">
        <w:rPr>
          <w:sz w:val="20"/>
          <w:szCs w:val="20"/>
        </w:rPr>
        <w:t xml:space="preserve">John S. Morton. </w:t>
      </w:r>
      <w:r w:rsidRPr="00C661E1">
        <w:rPr>
          <w:i/>
          <w:sz w:val="20"/>
          <w:szCs w:val="20"/>
        </w:rPr>
        <w:t>Advanced Placement Economics:  Macroeconomics: Student Activities</w:t>
      </w:r>
      <w:r w:rsidRPr="00C661E1">
        <w:rPr>
          <w:sz w:val="20"/>
          <w:szCs w:val="20"/>
        </w:rPr>
        <w:t xml:space="preserve"> (New York: National Council on Economic Education, 2003)</w:t>
      </w:r>
    </w:p>
    <w:p w14:paraId="72A834FC" w14:textId="3A059AF0" w:rsidR="00C7570B" w:rsidRDefault="00C7570B" w:rsidP="00A81737">
      <w:pPr>
        <w:tabs>
          <w:tab w:val="center" w:pos="4320"/>
          <w:tab w:val="left" w:pos="6990"/>
        </w:tabs>
        <w:rPr>
          <w:sz w:val="22"/>
          <w:szCs w:val="22"/>
        </w:rPr>
      </w:pPr>
    </w:p>
    <w:p w14:paraId="0415B88A" w14:textId="0AF56646" w:rsidR="00C7570B" w:rsidRDefault="00C661E1" w:rsidP="00A81737">
      <w:pPr>
        <w:tabs>
          <w:tab w:val="center" w:pos="4320"/>
          <w:tab w:val="left" w:pos="6990"/>
        </w:tabs>
        <w:rPr>
          <w:b/>
          <w:bCs/>
          <w:sz w:val="22"/>
          <w:szCs w:val="22"/>
        </w:rPr>
      </w:pPr>
      <w:r w:rsidRPr="00C661E1">
        <w:rPr>
          <w:b/>
          <w:bCs/>
          <w:sz w:val="22"/>
          <w:szCs w:val="22"/>
        </w:rPr>
        <w:t>Technology, Resources, &amp; Materials</w:t>
      </w:r>
    </w:p>
    <w:p w14:paraId="03613AB7" w14:textId="3BE6EF07" w:rsidR="00C661E1" w:rsidRPr="00C661E1" w:rsidRDefault="00C661E1" w:rsidP="00A81737">
      <w:pPr>
        <w:tabs>
          <w:tab w:val="center" w:pos="4320"/>
          <w:tab w:val="left" w:pos="6990"/>
        </w:tabs>
        <w:rPr>
          <w:rStyle w:val="eop"/>
          <w:rFonts w:ascii="Calibri" w:hAnsi="Calibri" w:cs="Calibri"/>
          <w:b/>
          <w:bCs/>
          <w:sz w:val="20"/>
          <w:szCs w:val="20"/>
        </w:rPr>
      </w:pPr>
      <w:r w:rsidRPr="00C661E1">
        <w:rPr>
          <w:rStyle w:val="normaltextrun"/>
          <w:rFonts w:ascii="Calibri" w:hAnsi="Calibri" w:cs="Calibri"/>
          <w:sz w:val="20"/>
          <w:szCs w:val="20"/>
        </w:rPr>
        <w:t>All students will be expected to use Canvas, AP Classroom, Office 365, and the class website for access to course materials, recorded lectures, extra practice and review materials, etc. </w:t>
      </w:r>
      <w:r w:rsidRPr="00C661E1">
        <w:rPr>
          <w:rStyle w:val="normaltextrun"/>
          <w:rFonts w:ascii="Calibri" w:hAnsi="Calibri" w:cs="Calibri"/>
          <w:b/>
          <w:bCs/>
          <w:sz w:val="20"/>
          <w:szCs w:val="20"/>
        </w:rPr>
        <w:t>lancerjones.weebly.com</w:t>
      </w:r>
      <w:r w:rsidRPr="00C661E1">
        <w:rPr>
          <w:rStyle w:val="eop"/>
          <w:rFonts w:ascii="Calibri" w:hAnsi="Calibri" w:cs="Calibri"/>
          <w:b/>
          <w:bCs/>
          <w:sz w:val="20"/>
          <w:szCs w:val="20"/>
        </w:rPr>
        <w:t> </w:t>
      </w:r>
    </w:p>
    <w:p w14:paraId="4621C5AA" w14:textId="77777777" w:rsidR="00C661E1" w:rsidRPr="00C661E1" w:rsidRDefault="00C661E1" w:rsidP="00C661E1">
      <w:pPr>
        <w:tabs>
          <w:tab w:val="center" w:pos="4320"/>
          <w:tab w:val="left" w:pos="6990"/>
        </w:tabs>
        <w:rPr>
          <w:sz w:val="20"/>
          <w:szCs w:val="20"/>
        </w:rPr>
      </w:pPr>
      <w:r w:rsidRPr="00C661E1">
        <w:rPr>
          <w:sz w:val="20"/>
          <w:szCs w:val="20"/>
        </w:rPr>
        <w:t>Quizzes and Tests are online at AP Classroom and will require using a lockdown browser on a computer or tablet (phones not compatible). These will be subject to a time limit and will only be open during our scheduled class period.</w:t>
      </w:r>
    </w:p>
    <w:p w14:paraId="72F4F6CA" w14:textId="77777777" w:rsidR="00C7570B" w:rsidRPr="00A81737" w:rsidRDefault="00C7570B" w:rsidP="00A81737">
      <w:pPr>
        <w:tabs>
          <w:tab w:val="center" w:pos="4320"/>
          <w:tab w:val="left" w:pos="6990"/>
        </w:tabs>
        <w:rPr>
          <w:i/>
          <w:sz w:val="22"/>
          <w:szCs w:val="22"/>
        </w:rPr>
      </w:pPr>
    </w:p>
    <w:p w14:paraId="38C1A759" w14:textId="77777777" w:rsidR="00A81737" w:rsidRPr="00A81737" w:rsidRDefault="00A81737" w:rsidP="00A81737">
      <w:pPr>
        <w:tabs>
          <w:tab w:val="center" w:pos="4320"/>
          <w:tab w:val="left" w:pos="6990"/>
        </w:tabs>
        <w:rPr>
          <w:b/>
          <w:sz w:val="22"/>
          <w:szCs w:val="22"/>
        </w:rPr>
      </w:pPr>
      <w:r w:rsidRPr="00A81737">
        <w:rPr>
          <w:b/>
          <w:sz w:val="22"/>
          <w:szCs w:val="22"/>
        </w:rPr>
        <w:t>ORGANIZATION</w:t>
      </w:r>
    </w:p>
    <w:p w14:paraId="783DE043" w14:textId="77777777" w:rsidR="00A81737" w:rsidRPr="00A81737" w:rsidRDefault="00A81737" w:rsidP="00A81737">
      <w:pPr>
        <w:tabs>
          <w:tab w:val="center" w:pos="4320"/>
          <w:tab w:val="left" w:pos="6990"/>
        </w:tabs>
        <w:rPr>
          <w:b/>
          <w:sz w:val="22"/>
          <w:szCs w:val="22"/>
        </w:rPr>
      </w:pPr>
    </w:p>
    <w:p w14:paraId="78D16FDC" w14:textId="77777777" w:rsidR="00A81737" w:rsidRPr="00C661E1" w:rsidRDefault="00A81737" w:rsidP="00A81737">
      <w:pPr>
        <w:autoSpaceDE w:val="0"/>
        <w:autoSpaceDN w:val="0"/>
        <w:adjustRightInd w:val="0"/>
        <w:rPr>
          <w:sz w:val="20"/>
          <w:szCs w:val="20"/>
        </w:rPr>
      </w:pPr>
      <w:r w:rsidRPr="00C661E1">
        <w:rPr>
          <w:sz w:val="20"/>
          <w:szCs w:val="20"/>
        </w:rPr>
        <w:t>This is a semester course designed to give students a thorough understanding of the principles of economics that apply to an economic system as a whole.</w:t>
      </w:r>
      <w:r w:rsidRPr="00C661E1">
        <w:rPr>
          <w:rFonts w:cs="CenturyOldStyleStd-Regular"/>
          <w:sz w:val="20"/>
          <w:szCs w:val="20"/>
        </w:rPr>
        <w:t xml:space="preserve"> This course places particular emphasis on the study of national income and price-level determination, and also develops students’ familiarity with economic performance measures, the financial sector, stabilization policies, economic growth, and international economics.</w:t>
      </w:r>
    </w:p>
    <w:p w14:paraId="0A7FD517" w14:textId="77777777" w:rsidR="00C7570B" w:rsidRPr="00A81737" w:rsidRDefault="00C7570B" w:rsidP="00A81737">
      <w:pPr>
        <w:tabs>
          <w:tab w:val="center" w:pos="4320"/>
          <w:tab w:val="left" w:pos="6990"/>
        </w:tabs>
        <w:rPr>
          <w:sz w:val="22"/>
          <w:szCs w:val="22"/>
        </w:rPr>
      </w:pPr>
    </w:p>
    <w:p w14:paraId="182BF111" w14:textId="77777777" w:rsidR="00A81737" w:rsidRPr="00A81737" w:rsidRDefault="00A81737" w:rsidP="00A81737">
      <w:pPr>
        <w:tabs>
          <w:tab w:val="center" w:pos="4320"/>
          <w:tab w:val="left" w:pos="6990"/>
        </w:tabs>
        <w:rPr>
          <w:b/>
          <w:sz w:val="22"/>
          <w:szCs w:val="22"/>
        </w:rPr>
      </w:pPr>
      <w:r w:rsidRPr="00A81737">
        <w:rPr>
          <w:b/>
          <w:sz w:val="22"/>
          <w:szCs w:val="22"/>
        </w:rPr>
        <w:t>THE A.P. EXAMINATION</w:t>
      </w:r>
    </w:p>
    <w:p w14:paraId="68CBDA5C" w14:textId="77777777" w:rsidR="00A81737" w:rsidRPr="00A81737" w:rsidRDefault="00A81737" w:rsidP="00A81737">
      <w:pPr>
        <w:tabs>
          <w:tab w:val="center" w:pos="4320"/>
          <w:tab w:val="left" w:pos="6990"/>
        </w:tabs>
        <w:rPr>
          <w:b/>
          <w:sz w:val="22"/>
          <w:szCs w:val="22"/>
        </w:rPr>
      </w:pPr>
    </w:p>
    <w:p w14:paraId="01FADE73" w14:textId="56BE5A51" w:rsidR="00F1059F" w:rsidRPr="00C661E1" w:rsidRDefault="00A81737" w:rsidP="00C7570B">
      <w:pPr>
        <w:tabs>
          <w:tab w:val="center" w:pos="4320"/>
          <w:tab w:val="left" w:pos="6990"/>
        </w:tabs>
        <w:rPr>
          <w:sz w:val="20"/>
          <w:szCs w:val="20"/>
        </w:rPr>
      </w:pPr>
      <w:r w:rsidRPr="00C661E1">
        <w:rPr>
          <w:sz w:val="20"/>
          <w:szCs w:val="20"/>
        </w:rPr>
        <w:t>The A.P. examination is 130 minutes in length and consists of two sections: a 70-minute multiple-choice section of 60 questions and a 60-minute free-response section. The multiple-choice section accounts for two-thirds of the final grade. The free response section is one-third of the grade and requires graphical analysis of economic concepts.</w:t>
      </w:r>
    </w:p>
    <w:p w14:paraId="5F1ECB70" w14:textId="77777777" w:rsidR="00C7570B" w:rsidRPr="00A81737" w:rsidRDefault="00C7570B">
      <w:pPr>
        <w:rPr>
          <w:b/>
          <w:bCs/>
          <w:sz w:val="22"/>
          <w:szCs w:val="22"/>
        </w:rPr>
      </w:pPr>
    </w:p>
    <w:p w14:paraId="4B3E767E" w14:textId="404A662C" w:rsidR="00F1059F" w:rsidRPr="00A81737" w:rsidRDefault="00DB1CED" w:rsidP="00F1059F">
      <w:pPr>
        <w:rPr>
          <w:b/>
          <w:bCs/>
          <w:sz w:val="22"/>
          <w:szCs w:val="22"/>
        </w:rPr>
      </w:pPr>
      <w:r w:rsidRPr="00A81737">
        <w:rPr>
          <w:b/>
          <w:bCs/>
          <w:sz w:val="22"/>
          <w:szCs w:val="22"/>
        </w:rPr>
        <w:t>AP Macroeconomics is a course</w:t>
      </w:r>
      <w:r w:rsidR="00A81737" w:rsidRPr="00A81737">
        <w:rPr>
          <w:b/>
          <w:bCs/>
          <w:sz w:val="22"/>
          <w:szCs w:val="22"/>
        </w:rPr>
        <w:t xml:space="preserve"> that is built on two things: Course Skills and Course Content.</w:t>
      </w:r>
    </w:p>
    <w:p w14:paraId="721E22E1" w14:textId="092D0D86" w:rsidR="00F1059F" w:rsidRPr="00A81737" w:rsidRDefault="00F1059F" w:rsidP="00F1059F">
      <w:pPr>
        <w:rPr>
          <w:sz w:val="22"/>
          <w:szCs w:val="22"/>
        </w:rPr>
      </w:pPr>
    </w:p>
    <w:p w14:paraId="487EA67A" w14:textId="1243E0DD" w:rsidR="00F1059F" w:rsidRPr="00A81737" w:rsidRDefault="00A81737" w:rsidP="00F1059F">
      <w:pPr>
        <w:rPr>
          <w:b/>
          <w:bCs/>
          <w:sz w:val="22"/>
          <w:szCs w:val="22"/>
        </w:rPr>
      </w:pPr>
      <w:r w:rsidRPr="00A81737">
        <w:rPr>
          <w:b/>
          <w:bCs/>
          <w:sz w:val="22"/>
          <w:szCs w:val="22"/>
        </w:rPr>
        <w:t xml:space="preserve">Course Content: </w:t>
      </w:r>
      <w:r w:rsidR="00F1059F" w:rsidRPr="00F1059F">
        <w:rPr>
          <w:b/>
          <w:bCs/>
          <w:sz w:val="22"/>
          <w:szCs w:val="22"/>
        </w:rPr>
        <w:t xml:space="preserve">Units Exam Weighting </w:t>
      </w:r>
    </w:p>
    <w:p w14:paraId="5A024B5A" w14:textId="77777777" w:rsidR="00F1059F" w:rsidRPr="00C661E1" w:rsidRDefault="00F1059F" w:rsidP="00F1059F">
      <w:pPr>
        <w:rPr>
          <w:sz w:val="20"/>
          <w:szCs w:val="20"/>
        </w:rPr>
      </w:pPr>
      <w:r w:rsidRPr="00F1059F">
        <w:rPr>
          <w:sz w:val="20"/>
          <w:szCs w:val="20"/>
          <w:u w:val="single"/>
        </w:rPr>
        <w:t>Unit 1:</w:t>
      </w:r>
      <w:r w:rsidRPr="00F1059F">
        <w:rPr>
          <w:sz w:val="20"/>
          <w:szCs w:val="20"/>
        </w:rPr>
        <w:t xml:space="preserve"> Basic Economic Concepts 5–10% </w:t>
      </w:r>
    </w:p>
    <w:p w14:paraId="2E6BDCE6" w14:textId="77777777" w:rsidR="00F1059F" w:rsidRPr="00C661E1" w:rsidRDefault="00F1059F" w:rsidP="00F1059F">
      <w:pPr>
        <w:rPr>
          <w:sz w:val="20"/>
          <w:szCs w:val="20"/>
        </w:rPr>
      </w:pPr>
      <w:r w:rsidRPr="00F1059F">
        <w:rPr>
          <w:sz w:val="20"/>
          <w:szCs w:val="20"/>
          <w:u w:val="single"/>
        </w:rPr>
        <w:t>Unit 2:</w:t>
      </w:r>
      <w:r w:rsidRPr="00F1059F">
        <w:rPr>
          <w:sz w:val="20"/>
          <w:szCs w:val="20"/>
        </w:rPr>
        <w:t xml:space="preserve"> Economic Indicators and the Business Cycle 12–17% </w:t>
      </w:r>
    </w:p>
    <w:p w14:paraId="39993B6D" w14:textId="77777777" w:rsidR="00F1059F" w:rsidRPr="00C661E1" w:rsidRDefault="00F1059F" w:rsidP="00F1059F">
      <w:pPr>
        <w:rPr>
          <w:sz w:val="20"/>
          <w:szCs w:val="20"/>
        </w:rPr>
      </w:pPr>
      <w:r w:rsidRPr="00F1059F">
        <w:rPr>
          <w:sz w:val="20"/>
          <w:szCs w:val="20"/>
          <w:u w:val="single"/>
        </w:rPr>
        <w:t>Unit 3:</w:t>
      </w:r>
      <w:r w:rsidRPr="00F1059F">
        <w:rPr>
          <w:sz w:val="20"/>
          <w:szCs w:val="20"/>
        </w:rPr>
        <w:t xml:space="preserve"> National Income and Price Determination 17–27% </w:t>
      </w:r>
    </w:p>
    <w:p w14:paraId="24FDE97D" w14:textId="77777777" w:rsidR="00F1059F" w:rsidRPr="00C661E1" w:rsidRDefault="00F1059F" w:rsidP="00F1059F">
      <w:pPr>
        <w:rPr>
          <w:sz w:val="20"/>
          <w:szCs w:val="20"/>
        </w:rPr>
      </w:pPr>
      <w:r w:rsidRPr="00F1059F">
        <w:rPr>
          <w:sz w:val="20"/>
          <w:szCs w:val="20"/>
          <w:u w:val="single"/>
        </w:rPr>
        <w:t>Unit 4:</w:t>
      </w:r>
      <w:r w:rsidRPr="00F1059F">
        <w:rPr>
          <w:sz w:val="20"/>
          <w:szCs w:val="20"/>
        </w:rPr>
        <w:t xml:space="preserve"> Financial Sector 18–23% </w:t>
      </w:r>
    </w:p>
    <w:p w14:paraId="7829334E" w14:textId="77777777" w:rsidR="00F1059F" w:rsidRPr="00C661E1" w:rsidRDefault="00F1059F" w:rsidP="00F1059F">
      <w:pPr>
        <w:rPr>
          <w:sz w:val="20"/>
          <w:szCs w:val="20"/>
        </w:rPr>
      </w:pPr>
      <w:r w:rsidRPr="00F1059F">
        <w:rPr>
          <w:sz w:val="20"/>
          <w:szCs w:val="20"/>
          <w:u w:val="single"/>
        </w:rPr>
        <w:t>Unit 5:</w:t>
      </w:r>
      <w:r w:rsidRPr="00F1059F">
        <w:rPr>
          <w:sz w:val="20"/>
          <w:szCs w:val="20"/>
        </w:rPr>
        <w:t xml:space="preserve"> Long-Run Consequences of Stabilization Policies 20–30% </w:t>
      </w:r>
    </w:p>
    <w:p w14:paraId="4B5B7AEA" w14:textId="3BF31995" w:rsidR="00F1059F" w:rsidRPr="00F1059F" w:rsidRDefault="00F1059F" w:rsidP="00F1059F">
      <w:pPr>
        <w:rPr>
          <w:sz w:val="20"/>
          <w:szCs w:val="20"/>
        </w:rPr>
      </w:pPr>
      <w:r w:rsidRPr="00F1059F">
        <w:rPr>
          <w:sz w:val="20"/>
          <w:szCs w:val="20"/>
          <w:u w:val="single"/>
        </w:rPr>
        <w:t>Unit 6:</w:t>
      </w:r>
      <w:r w:rsidRPr="00F1059F">
        <w:rPr>
          <w:sz w:val="20"/>
          <w:szCs w:val="20"/>
        </w:rPr>
        <w:t xml:space="preserve"> Open Economy—International Trade and Finance 10–13%</w:t>
      </w:r>
    </w:p>
    <w:p w14:paraId="206C83DB" w14:textId="6BC3EE3A" w:rsidR="00F1059F" w:rsidRPr="00A81737" w:rsidRDefault="00F1059F" w:rsidP="00F1059F">
      <w:pPr>
        <w:rPr>
          <w:sz w:val="22"/>
          <w:szCs w:val="22"/>
        </w:rPr>
      </w:pPr>
    </w:p>
    <w:p w14:paraId="7DCEB26D" w14:textId="77777777" w:rsidR="00A81737" w:rsidRPr="00A81737" w:rsidRDefault="00A81737" w:rsidP="00DB1CED">
      <w:pPr>
        <w:rPr>
          <w:b/>
          <w:bCs/>
          <w:sz w:val="22"/>
          <w:szCs w:val="22"/>
        </w:rPr>
      </w:pPr>
      <w:r w:rsidRPr="00A81737">
        <w:rPr>
          <w:b/>
          <w:bCs/>
          <w:sz w:val="22"/>
          <w:szCs w:val="22"/>
        </w:rPr>
        <w:t>Course Skills:</w:t>
      </w:r>
    </w:p>
    <w:p w14:paraId="654D232C" w14:textId="65875682" w:rsidR="00DB1CED" w:rsidRPr="00C661E1" w:rsidRDefault="00DB1CED" w:rsidP="00DB1CED">
      <w:pPr>
        <w:rPr>
          <w:sz w:val="20"/>
          <w:szCs w:val="20"/>
        </w:rPr>
      </w:pPr>
      <w:r w:rsidRPr="00DB1CED">
        <w:rPr>
          <w:sz w:val="20"/>
          <w:szCs w:val="20"/>
          <w:u w:val="single"/>
        </w:rPr>
        <w:t>Skill Category 1</w:t>
      </w:r>
      <w:r w:rsidR="00A81737" w:rsidRPr="00C661E1">
        <w:rPr>
          <w:sz w:val="20"/>
          <w:szCs w:val="20"/>
        </w:rPr>
        <w:t xml:space="preserve">: </w:t>
      </w:r>
      <w:r w:rsidRPr="00DB1CED">
        <w:rPr>
          <w:b/>
          <w:bCs/>
          <w:i/>
          <w:iCs/>
          <w:sz w:val="20"/>
          <w:szCs w:val="20"/>
        </w:rPr>
        <w:t>Principles and Models</w:t>
      </w:r>
      <w:r w:rsidRPr="00DB1CED">
        <w:rPr>
          <w:sz w:val="20"/>
          <w:szCs w:val="20"/>
        </w:rPr>
        <w:t xml:space="preserve"> </w:t>
      </w:r>
      <w:r w:rsidRPr="00C661E1">
        <w:rPr>
          <w:sz w:val="20"/>
          <w:szCs w:val="20"/>
        </w:rPr>
        <w:t>-</w:t>
      </w:r>
      <w:r w:rsidRPr="00DB1CED">
        <w:rPr>
          <w:sz w:val="20"/>
          <w:szCs w:val="20"/>
        </w:rPr>
        <w:t xml:space="preserve"> Define economic principles and models.</w:t>
      </w:r>
    </w:p>
    <w:p w14:paraId="6F894E44" w14:textId="7083404D" w:rsidR="00DB1CED" w:rsidRPr="00C661E1" w:rsidRDefault="00DB1CED" w:rsidP="00DB1CED">
      <w:pPr>
        <w:rPr>
          <w:sz w:val="20"/>
          <w:szCs w:val="20"/>
        </w:rPr>
      </w:pPr>
      <w:r w:rsidRPr="00DB1CED">
        <w:rPr>
          <w:sz w:val="20"/>
          <w:szCs w:val="20"/>
          <w:u w:val="single"/>
        </w:rPr>
        <w:t>Skill Category 2</w:t>
      </w:r>
      <w:r w:rsidR="00A81737" w:rsidRPr="00C661E1">
        <w:rPr>
          <w:sz w:val="20"/>
          <w:szCs w:val="20"/>
        </w:rPr>
        <w:t xml:space="preserve">: </w:t>
      </w:r>
      <w:r w:rsidRPr="00DB1CED">
        <w:rPr>
          <w:b/>
          <w:bCs/>
          <w:i/>
          <w:iCs/>
          <w:sz w:val="20"/>
          <w:szCs w:val="20"/>
        </w:rPr>
        <w:t>Interpretation</w:t>
      </w:r>
      <w:r w:rsidRPr="00DB1CED">
        <w:rPr>
          <w:i/>
          <w:iCs/>
          <w:sz w:val="20"/>
          <w:szCs w:val="20"/>
        </w:rPr>
        <w:t xml:space="preserve"> </w:t>
      </w:r>
      <w:r w:rsidRPr="00C661E1">
        <w:rPr>
          <w:sz w:val="20"/>
          <w:szCs w:val="20"/>
        </w:rPr>
        <w:t>-</w:t>
      </w:r>
      <w:r w:rsidRPr="00DB1CED">
        <w:rPr>
          <w:sz w:val="20"/>
          <w:szCs w:val="20"/>
        </w:rPr>
        <w:t xml:space="preserve"> Explain given economic outcomes.</w:t>
      </w:r>
    </w:p>
    <w:p w14:paraId="04998135" w14:textId="6E65F92C" w:rsidR="00DB1CED" w:rsidRPr="00C661E1" w:rsidRDefault="00DB1CED" w:rsidP="00DB1CED">
      <w:pPr>
        <w:rPr>
          <w:sz w:val="20"/>
          <w:szCs w:val="20"/>
        </w:rPr>
      </w:pPr>
      <w:r w:rsidRPr="00DB1CED">
        <w:rPr>
          <w:sz w:val="20"/>
          <w:szCs w:val="20"/>
          <w:u w:val="single"/>
        </w:rPr>
        <w:t>Skill Category 3</w:t>
      </w:r>
      <w:r w:rsidR="00A81737" w:rsidRPr="00C661E1">
        <w:rPr>
          <w:sz w:val="20"/>
          <w:szCs w:val="20"/>
        </w:rPr>
        <w:t xml:space="preserve">: </w:t>
      </w:r>
      <w:r w:rsidRPr="00DB1CED">
        <w:rPr>
          <w:b/>
          <w:bCs/>
          <w:i/>
          <w:iCs/>
          <w:sz w:val="20"/>
          <w:szCs w:val="20"/>
        </w:rPr>
        <w:t>Manipulation</w:t>
      </w:r>
      <w:r w:rsidRPr="00DB1CED">
        <w:rPr>
          <w:sz w:val="20"/>
          <w:szCs w:val="20"/>
        </w:rPr>
        <w:t xml:space="preserve"> </w:t>
      </w:r>
      <w:r w:rsidRPr="00C661E1">
        <w:rPr>
          <w:sz w:val="20"/>
          <w:szCs w:val="20"/>
        </w:rPr>
        <w:t xml:space="preserve">- </w:t>
      </w:r>
      <w:r w:rsidRPr="00DB1CED">
        <w:rPr>
          <w:sz w:val="20"/>
          <w:szCs w:val="20"/>
        </w:rPr>
        <w:t>Determine outcomes of specific economic situations.</w:t>
      </w:r>
    </w:p>
    <w:p w14:paraId="29F796FD" w14:textId="7FFA1B2E" w:rsidR="00C7570B" w:rsidRPr="00C661E1" w:rsidRDefault="00DB1CED" w:rsidP="00F1059F">
      <w:pPr>
        <w:rPr>
          <w:sz w:val="20"/>
          <w:szCs w:val="20"/>
        </w:rPr>
      </w:pPr>
      <w:r w:rsidRPr="00DB1CED">
        <w:rPr>
          <w:sz w:val="20"/>
          <w:szCs w:val="20"/>
          <w:u w:val="single"/>
        </w:rPr>
        <w:t>Skill Category 4</w:t>
      </w:r>
      <w:r w:rsidR="00A81737" w:rsidRPr="00C661E1">
        <w:rPr>
          <w:sz w:val="20"/>
          <w:szCs w:val="20"/>
        </w:rPr>
        <w:t xml:space="preserve">: </w:t>
      </w:r>
      <w:r w:rsidRPr="00DB1CED">
        <w:rPr>
          <w:b/>
          <w:bCs/>
          <w:i/>
          <w:iCs/>
          <w:sz w:val="20"/>
          <w:szCs w:val="20"/>
        </w:rPr>
        <w:t>Graphing and Visuals</w:t>
      </w:r>
      <w:r w:rsidRPr="00DB1CED">
        <w:rPr>
          <w:i/>
          <w:iCs/>
          <w:sz w:val="20"/>
          <w:szCs w:val="20"/>
        </w:rPr>
        <w:t xml:space="preserve"> </w:t>
      </w:r>
      <w:r w:rsidRPr="00C661E1">
        <w:rPr>
          <w:sz w:val="20"/>
          <w:szCs w:val="20"/>
        </w:rPr>
        <w:t xml:space="preserve">- </w:t>
      </w:r>
      <w:r w:rsidRPr="00DB1CED">
        <w:rPr>
          <w:sz w:val="20"/>
          <w:szCs w:val="20"/>
        </w:rPr>
        <w:t>Model economic situations using graphs or visual representations</w:t>
      </w:r>
      <w:r w:rsidR="00C7570B" w:rsidRPr="00C661E1">
        <w:rPr>
          <w:sz w:val="20"/>
          <w:szCs w:val="20"/>
        </w:rPr>
        <w:t>.</w:t>
      </w:r>
    </w:p>
    <w:p w14:paraId="2C33C24F" w14:textId="1CC2B68E" w:rsidR="00C7570B" w:rsidRDefault="00C7570B" w:rsidP="00F1059F">
      <w:pPr>
        <w:rPr>
          <w:b/>
          <w:bCs/>
          <w:sz w:val="20"/>
          <w:szCs w:val="20"/>
          <w:u w:val="single"/>
        </w:rPr>
      </w:pPr>
    </w:p>
    <w:p w14:paraId="74E22160" w14:textId="77777777" w:rsidR="00C661E1" w:rsidRDefault="00C661E1" w:rsidP="00F1059F">
      <w:pPr>
        <w:rPr>
          <w:b/>
          <w:bCs/>
          <w:sz w:val="20"/>
          <w:szCs w:val="20"/>
          <w:u w:val="single"/>
        </w:rPr>
      </w:pPr>
    </w:p>
    <w:p w14:paraId="63CC09B3" w14:textId="38F1B82F" w:rsidR="006A73EB" w:rsidRPr="00C7570B" w:rsidRDefault="006A73EB" w:rsidP="00F1059F">
      <w:pPr>
        <w:rPr>
          <w:b/>
          <w:bCs/>
          <w:sz w:val="20"/>
          <w:szCs w:val="20"/>
          <w:u w:val="single"/>
        </w:rPr>
      </w:pPr>
      <w:r w:rsidRPr="00C7570B">
        <w:rPr>
          <w:b/>
          <w:bCs/>
          <w:sz w:val="20"/>
          <w:szCs w:val="20"/>
          <w:u w:val="single"/>
        </w:rPr>
        <w:lastRenderedPageBreak/>
        <w:t>UNIT 1</w:t>
      </w:r>
    </w:p>
    <w:p w14:paraId="2BB6C61A" w14:textId="77777777" w:rsidR="00F1059F" w:rsidRPr="00C7570B" w:rsidRDefault="00F1059F" w:rsidP="00F1059F">
      <w:pPr>
        <w:rPr>
          <w:sz w:val="20"/>
          <w:szCs w:val="20"/>
        </w:rPr>
      </w:pPr>
      <w:r w:rsidRPr="00F1059F">
        <w:rPr>
          <w:sz w:val="20"/>
          <w:szCs w:val="20"/>
        </w:rPr>
        <w:t xml:space="preserve">1.1 Scarcity </w:t>
      </w:r>
    </w:p>
    <w:p w14:paraId="227098AC" w14:textId="77777777" w:rsidR="00F1059F" w:rsidRPr="00C7570B" w:rsidRDefault="00F1059F" w:rsidP="00F1059F">
      <w:pPr>
        <w:rPr>
          <w:sz w:val="20"/>
          <w:szCs w:val="20"/>
        </w:rPr>
      </w:pPr>
      <w:r w:rsidRPr="00F1059F">
        <w:rPr>
          <w:sz w:val="20"/>
          <w:szCs w:val="20"/>
        </w:rPr>
        <w:t xml:space="preserve">1.2 Opportunity Cost and the Production Possibilities Curve (PPC) </w:t>
      </w:r>
    </w:p>
    <w:p w14:paraId="1D2BD267" w14:textId="77777777" w:rsidR="00F1059F" w:rsidRPr="00C7570B" w:rsidRDefault="00F1059F" w:rsidP="00F1059F">
      <w:pPr>
        <w:rPr>
          <w:sz w:val="20"/>
          <w:szCs w:val="20"/>
        </w:rPr>
      </w:pPr>
      <w:r w:rsidRPr="00F1059F">
        <w:rPr>
          <w:sz w:val="20"/>
          <w:szCs w:val="20"/>
        </w:rPr>
        <w:t xml:space="preserve">1.3 Comparative Advantage and Gains from Trade </w:t>
      </w:r>
    </w:p>
    <w:p w14:paraId="36D4A381" w14:textId="77777777" w:rsidR="00F1059F" w:rsidRPr="00C7570B" w:rsidRDefault="00F1059F" w:rsidP="00F1059F">
      <w:pPr>
        <w:rPr>
          <w:sz w:val="20"/>
          <w:szCs w:val="20"/>
        </w:rPr>
      </w:pPr>
      <w:r w:rsidRPr="00F1059F">
        <w:rPr>
          <w:sz w:val="20"/>
          <w:szCs w:val="20"/>
        </w:rPr>
        <w:t xml:space="preserve">1.4 Demand </w:t>
      </w:r>
    </w:p>
    <w:p w14:paraId="249ACB49" w14:textId="77777777" w:rsidR="00F1059F" w:rsidRPr="00C7570B" w:rsidRDefault="00F1059F" w:rsidP="00F1059F">
      <w:pPr>
        <w:rPr>
          <w:sz w:val="20"/>
          <w:szCs w:val="20"/>
        </w:rPr>
      </w:pPr>
      <w:r w:rsidRPr="00F1059F">
        <w:rPr>
          <w:sz w:val="20"/>
          <w:szCs w:val="20"/>
        </w:rPr>
        <w:t xml:space="preserve">1.5 Supply </w:t>
      </w:r>
    </w:p>
    <w:p w14:paraId="6F014A7B" w14:textId="5F42E6BD" w:rsidR="00F1059F" w:rsidRPr="00F1059F" w:rsidRDefault="00F1059F" w:rsidP="00F1059F">
      <w:pPr>
        <w:rPr>
          <w:sz w:val="20"/>
          <w:szCs w:val="20"/>
        </w:rPr>
      </w:pPr>
      <w:r w:rsidRPr="00F1059F">
        <w:rPr>
          <w:sz w:val="20"/>
          <w:szCs w:val="20"/>
        </w:rPr>
        <w:t>1.6 Market Equilibrium, Disequilibrium, and Changes in Equilibrium</w:t>
      </w:r>
    </w:p>
    <w:p w14:paraId="65511C52" w14:textId="73B8547F" w:rsidR="00F1059F" w:rsidRPr="00C7570B" w:rsidRDefault="00F1059F" w:rsidP="00F1059F">
      <w:pPr>
        <w:rPr>
          <w:sz w:val="20"/>
          <w:szCs w:val="20"/>
        </w:rPr>
      </w:pPr>
    </w:p>
    <w:p w14:paraId="018E7CC2" w14:textId="23B0C280" w:rsidR="00F1059F" w:rsidRPr="00C7570B" w:rsidRDefault="006A73EB" w:rsidP="00F1059F">
      <w:pPr>
        <w:rPr>
          <w:b/>
          <w:bCs/>
          <w:sz w:val="20"/>
          <w:szCs w:val="20"/>
          <w:u w:val="single"/>
        </w:rPr>
      </w:pPr>
      <w:r w:rsidRPr="00C7570B">
        <w:rPr>
          <w:b/>
          <w:bCs/>
          <w:sz w:val="20"/>
          <w:szCs w:val="20"/>
          <w:u w:val="single"/>
        </w:rPr>
        <w:t>UNIT 2</w:t>
      </w:r>
    </w:p>
    <w:p w14:paraId="1049EFAE" w14:textId="36549125" w:rsidR="00F1059F" w:rsidRPr="00C7570B" w:rsidRDefault="00F1059F" w:rsidP="00F1059F">
      <w:pPr>
        <w:rPr>
          <w:sz w:val="20"/>
          <w:szCs w:val="20"/>
        </w:rPr>
      </w:pPr>
      <w:r w:rsidRPr="00F1059F">
        <w:rPr>
          <w:sz w:val="20"/>
          <w:szCs w:val="20"/>
        </w:rPr>
        <w:t xml:space="preserve">2.1 The Circular Flow and GDP </w:t>
      </w:r>
    </w:p>
    <w:p w14:paraId="4F1E4788" w14:textId="77777777" w:rsidR="00F1059F" w:rsidRPr="00C7570B" w:rsidRDefault="00F1059F" w:rsidP="00F1059F">
      <w:pPr>
        <w:rPr>
          <w:sz w:val="20"/>
          <w:szCs w:val="20"/>
        </w:rPr>
      </w:pPr>
      <w:r w:rsidRPr="00F1059F">
        <w:rPr>
          <w:sz w:val="20"/>
          <w:szCs w:val="20"/>
        </w:rPr>
        <w:t xml:space="preserve">2.2 Limitations of GDP </w:t>
      </w:r>
    </w:p>
    <w:p w14:paraId="6A8590F5" w14:textId="77777777" w:rsidR="00F1059F" w:rsidRPr="00C7570B" w:rsidRDefault="00F1059F" w:rsidP="00F1059F">
      <w:pPr>
        <w:rPr>
          <w:sz w:val="20"/>
          <w:szCs w:val="20"/>
        </w:rPr>
      </w:pPr>
      <w:r w:rsidRPr="00F1059F">
        <w:rPr>
          <w:sz w:val="20"/>
          <w:szCs w:val="20"/>
        </w:rPr>
        <w:t xml:space="preserve">2.3 Unemployment </w:t>
      </w:r>
    </w:p>
    <w:p w14:paraId="79F2018F" w14:textId="77777777" w:rsidR="00F1059F" w:rsidRPr="00C7570B" w:rsidRDefault="00F1059F" w:rsidP="00F1059F">
      <w:pPr>
        <w:rPr>
          <w:sz w:val="20"/>
          <w:szCs w:val="20"/>
        </w:rPr>
      </w:pPr>
      <w:r w:rsidRPr="00F1059F">
        <w:rPr>
          <w:sz w:val="20"/>
          <w:szCs w:val="20"/>
        </w:rPr>
        <w:t xml:space="preserve">2.4 Price Indices and Inflation  </w:t>
      </w:r>
    </w:p>
    <w:p w14:paraId="4AD9BBB5" w14:textId="77777777" w:rsidR="00F1059F" w:rsidRPr="00C7570B" w:rsidRDefault="00F1059F" w:rsidP="00F1059F">
      <w:pPr>
        <w:rPr>
          <w:sz w:val="20"/>
          <w:szCs w:val="20"/>
        </w:rPr>
      </w:pPr>
      <w:r w:rsidRPr="00F1059F">
        <w:rPr>
          <w:sz w:val="20"/>
          <w:szCs w:val="20"/>
        </w:rPr>
        <w:t xml:space="preserve">2.5 Costs of Inflation </w:t>
      </w:r>
    </w:p>
    <w:p w14:paraId="388A5AE8" w14:textId="77777777" w:rsidR="00F1059F" w:rsidRPr="00C7570B" w:rsidRDefault="00F1059F" w:rsidP="00F1059F">
      <w:pPr>
        <w:rPr>
          <w:sz w:val="20"/>
          <w:szCs w:val="20"/>
        </w:rPr>
      </w:pPr>
      <w:r w:rsidRPr="00F1059F">
        <w:rPr>
          <w:sz w:val="20"/>
          <w:szCs w:val="20"/>
        </w:rPr>
        <w:t xml:space="preserve">2.6 Real v. Nominal GDP </w:t>
      </w:r>
    </w:p>
    <w:p w14:paraId="65803E2E" w14:textId="2ECE4914" w:rsidR="00F1059F" w:rsidRPr="00F1059F" w:rsidRDefault="00F1059F" w:rsidP="00F1059F">
      <w:pPr>
        <w:rPr>
          <w:sz w:val="20"/>
          <w:szCs w:val="20"/>
        </w:rPr>
      </w:pPr>
      <w:r w:rsidRPr="00F1059F">
        <w:rPr>
          <w:sz w:val="20"/>
          <w:szCs w:val="20"/>
        </w:rPr>
        <w:t xml:space="preserve">2.7 Business Cycles </w:t>
      </w:r>
    </w:p>
    <w:p w14:paraId="4E261B14" w14:textId="4F2270E1" w:rsidR="00F1059F" w:rsidRPr="00C7570B" w:rsidRDefault="00F1059F">
      <w:pPr>
        <w:rPr>
          <w:sz w:val="20"/>
          <w:szCs w:val="20"/>
        </w:rPr>
      </w:pPr>
    </w:p>
    <w:p w14:paraId="77515368" w14:textId="68B5BD21" w:rsidR="006A73EB" w:rsidRPr="00C7570B" w:rsidRDefault="006A73EB">
      <w:pPr>
        <w:rPr>
          <w:b/>
          <w:bCs/>
          <w:sz w:val="20"/>
          <w:szCs w:val="20"/>
          <w:u w:val="single"/>
        </w:rPr>
      </w:pPr>
      <w:r w:rsidRPr="00C7570B">
        <w:rPr>
          <w:b/>
          <w:bCs/>
          <w:sz w:val="20"/>
          <w:szCs w:val="20"/>
          <w:u w:val="single"/>
        </w:rPr>
        <w:t>UNIT 3</w:t>
      </w:r>
    </w:p>
    <w:p w14:paraId="2D7450BE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3.1 Aggregate Demand (AD) </w:t>
      </w:r>
    </w:p>
    <w:p w14:paraId="4415C899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3.2 Multipliers </w:t>
      </w:r>
    </w:p>
    <w:p w14:paraId="2FA4E7A2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3.3 Short-Run Aggregate Supply (SRAS) </w:t>
      </w:r>
    </w:p>
    <w:p w14:paraId="181489A4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3.4 Long-Run Aggregate Supply (LRAS) </w:t>
      </w:r>
    </w:p>
    <w:p w14:paraId="618875CD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3.5 Equilibrium in the Aggregate Demand– Aggregate Supply (AD–AS) Model </w:t>
      </w:r>
    </w:p>
    <w:p w14:paraId="4080FD56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3.6 Changes in the AD–AS Model in the Short Run </w:t>
      </w:r>
    </w:p>
    <w:p w14:paraId="039CD883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3.7 Long-Run Self-Adjustment </w:t>
      </w:r>
    </w:p>
    <w:p w14:paraId="1A094BF5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3.8 Fiscal Policy </w:t>
      </w:r>
    </w:p>
    <w:p w14:paraId="743EFFB2" w14:textId="0B0A025C" w:rsidR="006A73EB" w:rsidRPr="006A73E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>3.9 Automatic Stabilizers</w:t>
      </w:r>
    </w:p>
    <w:p w14:paraId="1F257BF3" w14:textId="71B3A2E2" w:rsidR="006A73EB" w:rsidRPr="00C7570B" w:rsidRDefault="006A73EB">
      <w:pPr>
        <w:rPr>
          <w:sz w:val="20"/>
          <w:szCs w:val="20"/>
        </w:rPr>
      </w:pPr>
    </w:p>
    <w:p w14:paraId="137CB0BD" w14:textId="6E05A4E1" w:rsidR="006A73EB" w:rsidRPr="00C7570B" w:rsidRDefault="006A73EB">
      <w:pPr>
        <w:rPr>
          <w:b/>
          <w:bCs/>
          <w:sz w:val="20"/>
          <w:szCs w:val="20"/>
          <w:u w:val="single"/>
        </w:rPr>
      </w:pPr>
      <w:r w:rsidRPr="00C7570B">
        <w:rPr>
          <w:b/>
          <w:bCs/>
          <w:sz w:val="20"/>
          <w:szCs w:val="20"/>
          <w:u w:val="single"/>
        </w:rPr>
        <w:t>UNIT 4</w:t>
      </w:r>
    </w:p>
    <w:p w14:paraId="1E2D8C7A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4.1 Financial Assets </w:t>
      </w:r>
    </w:p>
    <w:p w14:paraId="785248EB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4.2 Nominal v. Real Interest Rates </w:t>
      </w:r>
    </w:p>
    <w:p w14:paraId="179D759E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4.3 Definition, Measurement, and Functions of Money </w:t>
      </w:r>
    </w:p>
    <w:p w14:paraId="675D6D56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4.4 Banking and the Expansion of the Money Supply </w:t>
      </w:r>
    </w:p>
    <w:p w14:paraId="67CD472F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4.5 The Money Market </w:t>
      </w:r>
    </w:p>
    <w:p w14:paraId="7DD1EEA2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4.6 Monetary Policy </w:t>
      </w:r>
    </w:p>
    <w:p w14:paraId="574C1E77" w14:textId="71B3124C" w:rsidR="006A73EB" w:rsidRPr="006A73E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>4.7 The Loanable Funds Market</w:t>
      </w:r>
    </w:p>
    <w:p w14:paraId="69932DBE" w14:textId="4E4EC257" w:rsidR="006A73EB" w:rsidRPr="00C7570B" w:rsidRDefault="006A73EB">
      <w:pPr>
        <w:rPr>
          <w:sz w:val="20"/>
          <w:szCs w:val="20"/>
        </w:rPr>
      </w:pPr>
    </w:p>
    <w:p w14:paraId="3E826829" w14:textId="6763250F" w:rsidR="006A73EB" w:rsidRPr="00C7570B" w:rsidRDefault="006A73EB">
      <w:pPr>
        <w:rPr>
          <w:b/>
          <w:bCs/>
          <w:sz w:val="20"/>
          <w:szCs w:val="20"/>
          <w:u w:val="single"/>
        </w:rPr>
      </w:pPr>
      <w:r w:rsidRPr="00C7570B">
        <w:rPr>
          <w:b/>
          <w:bCs/>
          <w:sz w:val="20"/>
          <w:szCs w:val="20"/>
          <w:u w:val="single"/>
        </w:rPr>
        <w:t>UNIT 5</w:t>
      </w:r>
    </w:p>
    <w:p w14:paraId="132654F1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5.1 Fiscal and Monetary Policy Actions in the Short Run </w:t>
      </w:r>
    </w:p>
    <w:p w14:paraId="636ACF3D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5.2 The Phillips Curve </w:t>
      </w:r>
    </w:p>
    <w:p w14:paraId="14D80124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5.3 Money Growth and Inflation </w:t>
      </w:r>
    </w:p>
    <w:p w14:paraId="4A162292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5.4 Government Deficits and the National Debt </w:t>
      </w:r>
    </w:p>
    <w:p w14:paraId="682C317E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5.5 Crowding Out </w:t>
      </w:r>
    </w:p>
    <w:p w14:paraId="0FDB0CD9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5.6 Economic Growth </w:t>
      </w:r>
    </w:p>
    <w:p w14:paraId="6B9FB84C" w14:textId="6188A8FC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>5.7 Public Policy and Economic Growth</w:t>
      </w:r>
    </w:p>
    <w:p w14:paraId="52C7C8AD" w14:textId="556A7BB9" w:rsidR="006A73EB" w:rsidRPr="00C7570B" w:rsidRDefault="006A73EB" w:rsidP="006A73EB">
      <w:pPr>
        <w:rPr>
          <w:sz w:val="20"/>
          <w:szCs w:val="20"/>
        </w:rPr>
      </w:pPr>
    </w:p>
    <w:p w14:paraId="7119511B" w14:textId="1CBA2C36" w:rsidR="006A73EB" w:rsidRPr="00C7570B" w:rsidRDefault="006A73EB" w:rsidP="006A73EB">
      <w:pPr>
        <w:rPr>
          <w:b/>
          <w:bCs/>
          <w:sz w:val="20"/>
          <w:szCs w:val="20"/>
          <w:u w:val="single"/>
        </w:rPr>
      </w:pPr>
      <w:r w:rsidRPr="00C7570B">
        <w:rPr>
          <w:b/>
          <w:bCs/>
          <w:sz w:val="20"/>
          <w:szCs w:val="20"/>
          <w:u w:val="single"/>
        </w:rPr>
        <w:t>UNIT 6</w:t>
      </w:r>
    </w:p>
    <w:p w14:paraId="10CC6268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6.1 Balance of Payments Accounts </w:t>
      </w:r>
    </w:p>
    <w:p w14:paraId="5546DD3B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6.2 Exchange Rates </w:t>
      </w:r>
    </w:p>
    <w:p w14:paraId="24539C71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6.3 The Foreign Exchange Market </w:t>
      </w:r>
    </w:p>
    <w:p w14:paraId="0C7E8A1B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6.4 Effect of Changes in Policies and Economic Conditions on the Foreign Exchange Market </w:t>
      </w:r>
    </w:p>
    <w:p w14:paraId="7DC00536" w14:textId="77777777" w:rsidR="006A73EB" w:rsidRPr="00C7570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 xml:space="preserve">6.5 Changes in the Foreign Exchange Market and Net </w:t>
      </w:r>
    </w:p>
    <w:p w14:paraId="2D3EDE66" w14:textId="391B4AC5" w:rsidR="006A73EB" w:rsidRPr="006A73EB" w:rsidRDefault="006A73EB" w:rsidP="006A73EB">
      <w:pPr>
        <w:rPr>
          <w:sz w:val="20"/>
          <w:szCs w:val="20"/>
        </w:rPr>
      </w:pPr>
      <w:r w:rsidRPr="006A73EB">
        <w:rPr>
          <w:sz w:val="20"/>
          <w:szCs w:val="20"/>
        </w:rPr>
        <w:t>6.6 Real Interest Rates and International Capital Flows</w:t>
      </w:r>
    </w:p>
    <w:p w14:paraId="71C57843" w14:textId="77777777" w:rsidR="00C661E1" w:rsidRPr="00C661E1" w:rsidRDefault="00C661E1" w:rsidP="00C661E1">
      <w:pPr>
        <w:rPr>
          <w:b/>
        </w:rPr>
      </w:pPr>
      <w:r w:rsidRPr="00C661E1">
        <w:rPr>
          <w:b/>
        </w:rPr>
        <w:lastRenderedPageBreak/>
        <w:t>STUDENT OBJECTIVES</w:t>
      </w:r>
    </w:p>
    <w:p w14:paraId="3FA3997A" w14:textId="77777777" w:rsidR="00C661E1" w:rsidRPr="00C661E1" w:rsidRDefault="00C661E1" w:rsidP="00C661E1">
      <w:pPr>
        <w:rPr>
          <w:bCs/>
          <w:sz w:val="20"/>
          <w:szCs w:val="20"/>
        </w:rPr>
      </w:pPr>
      <w:r w:rsidRPr="00C661E1">
        <w:rPr>
          <w:bCs/>
          <w:sz w:val="20"/>
          <w:szCs w:val="20"/>
        </w:rPr>
        <w:t>In this course, students will:</w:t>
      </w:r>
    </w:p>
    <w:p w14:paraId="0243AFF8" w14:textId="5F068973" w:rsidR="00C661E1" w:rsidRPr="00C661E1" w:rsidRDefault="00C661E1" w:rsidP="00C661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Le</w:t>
      </w:r>
      <w:r w:rsidRPr="00C661E1">
        <w:rPr>
          <w:bCs/>
          <w:sz w:val="20"/>
          <w:szCs w:val="20"/>
        </w:rPr>
        <w:t>arn and master an economic way of thinking when confronted with problems;</w:t>
      </w:r>
    </w:p>
    <w:p w14:paraId="79C27DFA" w14:textId="12D58CCE" w:rsidR="00C661E1" w:rsidRPr="00C661E1" w:rsidRDefault="00C661E1" w:rsidP="00C661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</w:t>
      </w:r>
      <w:r w:rsidRPr="00C661E1">
        <w:rPr>
          <w:bCs/>
          <w:sz w:val="20"/>
          <w:szCs w:val="20"/>
        </w:rPr>
        <w:t>earn to express themselves with both written text answers and through a variety of graphical models;</w:t>
      </w:r>
    </w:p>
    <w:p w14:paraId="3567EB91" w14:textId="4F1C276F" w:rsidR="00C661E1" w:rsidRPr="00C661E1" w:rsidRDefault="00C661E1" w:rsidP="00C661E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B</w:t>
      </w:r>
      <w:r w:rsidRPr="00C661E1">
        <w:rPr>
          <w:bCs/>
          <w:sz w:val="20"/>
          <w:szCs w:val="20"/>
        </w:rPr>
        <w:t>e well prepared to continue their economics education at the college level</w:t>
      </w:r>
      <w:r>
        <w:rPr>
          <w:bCs/>
          <w:sz w:val="20"/>
          <w:szCs w:val="20"/>
        </w:rPr>
        <w:t xml:space="preserve"> and,</w:t>
      </w:r>
    </w:p>
    <w:p w14:paraId="6EC4DAF0" w14:textId="1C46EB23" w:rsidR="00C661E1" w:rsidRPr="00C661E1" w:rsidRDefault="00C661E1" w:rsidP="00C661E1">
      <w:pPr>
        <w:rPr>
          <w:bCs/>
          <w:sz w:val="20"/>
          <w:szCs w:val="20"/>
        </w:rPr>
      </w:pPr>
      <w:r w:rsidRPr="00C661E1">
        <w:rPr>
          <w:bCs/>
          <w:i/>
          <w:iCs/>
          <w:sz w:val="20"/>
          <w:szCs w:val="20"/>
        </w:rPr>
        <w:t>PASS THE AP MACROECONOMICS EXAM!</w:t>
      </w:r>
    </w:p>
    <w:p w14:paraId="1C873A49" w14:textId="77777777" w:rsidR="00C661E1" w:rsidRDefault="00C661E1" w:rsidP="00A81737">
      <w:pPr>
        <w:rPr>
          <w:b/>
        </w:rPr>
      </w:pPr>
    </w:p>
    <w:p w14:paraId="2649E891" w14:textId="7B3432A1" w:rsidR="00C661E1" w:rsidRDefault="00C661E1" w:rsidP="00A81737">
      <w:pPr>
        <w:rPr>
          <w:b/>
        </w:rPr>
      </w:pPr>
      <w:r>
        <w:rPr>
          <w:b/>
        </w:rPr>
        <w:t>COURSE EXPECTATIONS</w:t>
      </w:r>
    </w:p>
    <w:p w14:paraId="2D460950" w14:textId="3CB4B298" w:rsidR="00C661E1" w:rsidRPr="00C661E1" w:rsidRDefault="00C661E1" w:rsidP="00C661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C661E1">
        <w:rPr>
          <w:rStyle w:val="normaltextrun"/>
          <w:rFonts w:ascii="Calibri" w:hAnsi="Calibri" w:cs="Calibri"/>
          <w:sz w:val="20"/>
          <w:szCs w:val="20"/>
        </w:rPr>
        <w:t>All work, on time, no cheating, no excuses.</w:t>
      </w:r>
      <w:r w:rsidRPr="00C661E1">
        <w:rPr>
          <w:rStyle w:val="eop"/>
          <w:rFonts w:ascii="Calibri" w:hAnsi="Calibri" w:cs="Calibri"/>
          <w:sz w:val="20"/>
          <w:szCs w:val="20"/>
        </w:rPr>
        <w:t> </w:t>
      </w:r>
      <w:r w:rsidRPr="00C661E1">
        <w:rPr>
          <w:rStyle w:val="normaltextrun"/>
          <w:rFonts w:ascii="Calibri" w:hAnsi="Calibri" w:cs="Calibri"/>
          <w:sz w:val="20"/>
          <w:szCs w:val="20"/>
        </w:rPr>
        <w:t>No late work accepted.</w:t>
      </w:r>
      <w:r w:rsidRPr="00C661E1">
        <w:rPr>
          <w:rStyle w:val="eop"/>
          <w:rFonts w:ascii="Calibri" w:hAnsi="Calibri" w:cs="Calibri"/>
          <w:sz w:val="20"/>
          <w:szCs w:val="20"/>
        </w:rPr>
        <w:t> </w:t>
      </w:r>
      <w:r w:rsidRPr="00C661E1">
        <w:rPr>
          <w:rStyle w:val="tabchar"/>
          <w:rFonts w:ascii="Calibri" w:hAnsi="Calibri" w:cs="Calibri"/>
          <w:sz w:val="20"/>
          <w:szCs w:val="20"/>
        </w:rPr>
        <w:t>All online assignments (Terms and Practice Free Response) will be in the OneNote Class Notebook. Terms Due at the beginning of every unit, F.R. at the e</w:t>
      </w:r>
      <w:r w:rsidRPr="00C661E1">
        <w:rPr>
          <w:rStyle w:val="tabchar"/>
          <w:rFonts w:ascii="Calibri" w:hAnsi="Calibri" w:cs="Calibri"/>
          <w:sz w:val="20"/>
          <w:szCs w:val="20"/>
        </w:rPr>
        <w:t xml:space="preserve">nd. </w:t>
      </w:r>
      <w:r w:rsidRPr="00C661E1">
        <w:rPr>
          <w:rStyle w:val="tabchar"/>
          <w:rFonts w:ascii="Calibri" w:hAnsi="Calibri" w:cs="Calibri"/>
          <w:sz w:val="20"/>
          <w:szCs w:val="20"/>
        </w:rPr>
        <w:t>All activities in the course packets are due the day we review them in class and will be checked randomly for homework credit.</w:t>
      </w:r>
    </w:p>
    <w:p w14:paraId="4B9A352A" w14:textId="77777777" w:rsidR="00C661E1" w:rsidRDefault="00C661E1" w:rsidP="00A81737">
      <w:pPr>
        <w:rPr>
          <w:b/>
        </w:rPr>
      </w:pPr>
    </w:p>
    <w:p w14:paraId="05EA25E5" w14:textId="1C3B3416" w:rsidR="00A81737" w:rsidRPr="00A81737" w:rsidRDefault="00A81737" w:rsidP="00A81737">
      <w:pPr>
        <w:rPr>
          <w:b/>
        </w:rPr>
      </w:pPr>
      <w:r w:rsidRPr="00A81737">
        <w:rPr>
          <w:b/>
        </w:rPr>
        <w:t>GRADING POLICY</w:t>
      </w:r>
    </w:p>
    <w:p w14:paraId="02BC76F2" w14:textId="77777777" w:rsidR="00A81737" w:rsidRPr="00A81737" w:rsidRDefault="00A81737" w:rsidP="00A81737">
      <w:pPr>
        <w:rPr>
          <w:b/>
        </w:rPr>
      </w:pPr>
    </w:p>
    <w:p w14:paraId="540D69B3" w14:textId="7868A0A5" w:rsidR="00C7570B" w:rsidRPr="00C661E1" w:rsidRDefault="00A81737" w:rsidP="00A81737">
      <w:pPr>
        <w:rPr>
          <w:sz w:val="20"/>
          <w:szCs w:val="20"/>
        </w:rPr>
      </w:pPr>
      <w:r w:rsidRPr="00C661E1">
        <w:rPr>
          <w:sz w:val="20"/>
          <w:szCs w:val="20"/>
        </w:rPr>
        <w:t>Grades will be determined by scores on assignments</w:t>
      </w:r>
      <w:r w:rsidR="00C7570B" w:rsidRPr="00C661E1">
        <w:rPr>
          <w:sz w:val="20"/>
          <w:szCs w:val="20"/>
        </w:rPr>
        <w:t xml:space="preserve"> (30%)</w:t>
      </w:r>
      <w:r w:rsidRPr="00C661E1">
        <w:rPr>
          <w:sz w:val="20"/>
          <w:szCs w:val="20"/>
        </w:rPr>
        <w:t>, quizzes</w:t>
      </w:r>
      <w:r w:rsidR="00C7570B" w:rsidRPr="00C661E1">
        <w:rPr>
          <w:sz w:val="20"/>
          <w:szCs w:val="20"/>
        </w:rPr>
        <w:t xml:space="preserve"> (20%)</w:t>
      </w:r>
      <w:r w:rsidRPr="00C661E1">
        <w:rPr>
          <w:sz w:val="20"/>
          <w:szCs w:val="20"/>
        </w:rPr>
        <w:t>, unit tests</w:t>
      </w:r>
      <w:r w:rsidR="00C7570B" w:rsidRPr="00C661E1">
        <w:rPr>
          <w:sz w:val="20"/>
          <w:szCs w:val="20"/>
        </w:rPr>
        <w:t xml:space="preserve"> (30%)</w:t>
      </w:r>
      <w:r w:rsidRPr="00C661E1">
        <w:rPr>
          <w:sz w:val="20"/>
          <w:szCs w:val="20"/>
        </w:rPr>
        <w:t>, and the final comprehensive examination</w:t>
      </w:r>
      <w:r w:rsidR="00C7570B" w:rsidRPr="00C661E1">
        <w:rPr>
          <w:sz w:val="20"/>
          <w:szCs w:val="20"/>
        </w:rPr>
        <w:t xml:space="preserve"> (20%)</w:t>
      </w:r>
      <w:r w:rsidRPr="00C661E1">
        <w:rPr>
          <w:sz w:val="20"/>
          <w:szCs w:val="20"/>
        </w:rPr>
        <w:t xml:space="preserve">.  Assignments include Unit Terms, Activities, and Practice Free Response Questions. </w:t>
      </w:r>
      <w:r w:rsidR="00C7570B" w:rsidRPr="00C661E1">
        <w:rPr>
          <w:sz w:val="20"/>
          <w:szCs w:val="20"/>
        </w:rPr>
        <w:t>Quizzes are near the end of the unit and should be viewed as practice tests. Tests are</w:t>
      </w:r>
      <w:r w:rsidRPr="00C661E1">
        <w:rPr>
          <w:sz w:val="20"/>
          <w:szCs w:val="20"/>
        </w:rPr>
        <w:t xml:space="preserve"> an exam on an entire unit.  </w:t>
      </w:r>
      <w:r w:rsidR="00C7570B" w:rsidRPr="00C661E1">
        <w:rPr>
          <w:sz w:val="20"/>
          <w:szCs w:val="20"/>
        </w:rPr>
        <w:t>They</w:t>
      </w:r>
      <w:r w:rsidRPr="00C661E1">
        <w:rPr>
          <w:sz w:val="20"/>
          <w:szCs w:val="20"/>
        </w:rPr>
        <w:t xml:space="preserve"> include a multiple</w:t>
      </w:r>
      <w:r w:rsidR="00C7570B" w:rsidRPr="00C661E1">
        <w:rPr>
          <w:sz w:val="20"/>
          <w:szCs w:val="20"/>
        </w:rPr>
        <w:t>-</w:t>
      </w:r>
      <w:r w:rsidRPr="00C661E1">
        <w:rPr>
          <w:sz w:val="20"/>
          <w:szCs w:val="20"/>
        </w:rPr>
        <w:t>choice section and a free response section.  The tests will be weighted as the AP exam; multiple choice accounts for two-thirds of your grade and the free response accounts for one-third.  In the free-response section you will be expected to generate, interpret, label, and analyze graphs, charts, and data to describe economic concepts.</w:t>
      </w:r>
      <w:r w:rsidR="00C7570B" w:rsidRPr="00C661E1">
        <w:rPr>
          <w:sz w:val="20"/>
          <w:szCs w:val="20"/>
        </w:rPr>
        <w:t xml:space="preserve"> </w:t>
      </w:r>
    </w:p>
    <w:p w14:paraId="1C33F4E5" w14:textId="69175E73" w:rsidR="00C7570B" w:rsidRDefault="00C7570B" w:rsidP="00A81737"/>
    <w:p w14:paraId="5378BC5A" w14:textId="77777777" w:rsidR="00C7570B" w:rsidRPr="00A81737" w:rsidRDefault="00C7570B" w:rsidP="00C7570B">
      <w:pPr>
        <w:rPr>
          <w:b/>
        </w:rPr>
      </w:pPr>
      <w:r w:rsidRPr="00A81737">
        <w:rPr>
          <w:b/>
        </w:rPr>
        <w:t>GRADING SCALE</w:t>
      </w:r>
    </w:p>
    <w:p w14:paraId="408F45E2" w14:textId="77777777" w:rsidR="00C7570B" w:rsidRDefault="00C7570B" w:rsidP="00A81737"/>
    <w:p w14:paraId="6491CDAF" w14:textId="77777777" w:rsidR="00C7570B" w:rsidRPr="00C661E1" w:rsidRDefault="00C7570B" w:rsidP="00C7570B">
      <w:pPr>
        <w:rPr>
          <w:rStyle w:val="normaltextrun"/>
          <w:rFonts w:ascii="Calibri" w:hAnsi="Calibri" w:cs="Calibri"/>
          <w:sz w:val="20"/>
          <w:szCs w:val="20"/>
        </w:rPr>
      </w:pPr>
      <w:r w:rsidRPr="00C661E1">
        <w:rPr>
          <w:rStyle w:val="normaltextrun"/>
          <w:rFonts w:ascii="Calibri" w:hAnsi="Calibri" w:cs="Calibri"/>
          <w:sz w:val="20"/>
          <w:szCs w:val="20"/>
        </w:rPr>
        <w:t>All assessments will be graded on a 5,4,3,2,1 scale following average AP percentages and earning the following grades in the gradebook</w:t>
      </w:r>
      <w:r w:rsidRPr="00C661E1">
        <w:rPr>
          <w:rStyle w:val="normaltextrun"/>
          <w:rFonts w:ascii="Calibri" w:hAnsi="Calibri" w:cs="Calibri"/>
          <w:sz w:val="20"/>
          <w:szCs w:val="20"/>
        </w:rPr>
        <w:t>:</w:t>
      </w:r>
      <w:r w:rsidRPr="00C661E1">
        <w:rPr>
          <w:rStyle w:val="normaltextrun"/>
          <w:rFonts w:ascii="Calibri" w:hAnsi="Calibri" w:cs="Calibri"/>
          <w:sz w:val="20"/>
          <w:szCs w:val="20"/>
        </w:rPr>
        <w:tab/>
      </w:r>
    </w:p>
    <w:p w14:paraId="1E1FD341" w14:textId="30EBE3E0" w:rsidR="00C7570B" w:rsidRPr="00C661E1" w:rsidRDefault="00C7570B" w:rsidP="00C7570B">
      <w:pPr>
        <w:ind w:left="5760" w:firstLine="720"/>
        <w:rPr>
          <w:rStyle w:val="normaltextrun"/>
          <w:rFonts w:ascii="Calibri" w:hAnsi="Calibri" w:cs="Calibri"/>
          <w:sz w:val="20"/>
          <w:szCs w:val="20"/>
        </w:rPr>
      </w:pPr>
      <w:r w:rsidRPr="00C661E1">
        <w:rPr>
          <w:rStyle w:val="normaltextrun"/>
          <w:rFonts w:ascii="Calibri" w:hAnsi="Calibri" w:cs="Calibri"/>
          <w:sz w:val="20"/>
          <w:szCs w:val="20"/>
        </w:rPr>
        <w:t>5=7/7=100%</w:t>
      </w:r>
    </w:p>
    <w:p w14:paraId="6FA90AE3" w14:textId="77777777" w:rsidR="00C7570B" w:rsidRPr="00C661E1" w:rsidRDefault="00C7570B" w:rsidP="00C7570B">
      <w:pPr>
        <w:ind w:left="5760" w:firstLine="720"/>
        <w:rPr>
          <w:rStyle w:val="normaltextrun"/>
          <w:rFonts w:ascii="Calibri" w:hAnsi="Calibri" w:cs="Calibri"/>
          <w:sz w:val="20"/>
          <w:szCs w:val="20"/>
        </w:rPr>
      </w:pPr>
      <w:r w:rsidRPr="00C661E1">
        <w:rPr>
          <w:rStyle w:val="normaltextrun"/>
          <w:rFonts w:ascii="Calibri" w:hAnsi="Calibri" w:cs="Calibri"/>
          <w:sz w:val="20"/>
          <w:szCs w:val="20"/>
        </w:rPr>
        <w:t>4=6/7=86%</w:t>
      </w:r>
    </w:p>
    <w:p w14:paraId="78EB1D4F" w14:textId="77777777" w:rsidR="00C7570B" w:rsidRPr="00C661E1" w:rsidRDefault="00C7570B" w:rsidP="00C7570B">
      <w:pPr>
        <w:ind w:left="5760" w:firstLine="720"/>
        <w:rPr>
          <w:rStyle w:val="normaltextrun"/>
          <w:rFonts w:ascii="Calibri" w:hAnsi="Calibri" w:cs="Calibri"/>
          <w:sz w:val="20"/>
          <w:szCs w:val="20"/>
        </w:rPr>
      </w:pPr>
      <w:r w:rsidRPr="00C661E1">
        <w:rPr>
          <w:rStyle w:val="normaltextrun"/>
          <w:rFonts w:ascii="Calibri" w:hAnsi="Calibri" w:cs="Calibri"/>
          <w:sz w:val="20"/>
          <w:szCs w:val="20"/>
        </w:rPr>
        <w:t>3=5/7=71%</w:t>
      </w:r>
    </w:p>
    <w:p w14:paraId="2B562157" w14:textId="77777777" w:rsidR="00C7570B" w:rsidRPr="00C661E1" w:rsidRDefault="00C7570B" w:rsidP="00C7570B">
      <w:pPr>
        <w:ind w:left="5760" w:firstLine="720"/>
        <w:rPr>
          <w:rStyle w:val="normaltextrun"/>
          <w:rFonts w:ascii="Calibri" w:hAnsi="Calibri" w:cs="Calibri"/>
          <w:sz w:val="20"/>
          <w:szCs w:val="20"/>
        </w:rPr>
      </w:pPr>
      <w:r w:rsidRPr="00C661E1">
        <w:rPr>
          <w:rStyle w:val="normaltextrun"/>
          <w:rFonts w:ascii="Calibri" w:hAnsi="Calibri" w:cs="Calibri"/>
          <w:sz w:val="20"/>
          <w:szCs w:val="20"/>
        </w:rPr>
        <w:t>2=4/7=57%</w:t>
      </w:r>
    </w:p>
    <w:p w14:paraId="12EE3748" w14:textId="488C8D16" w:rsidR="00A81737" w:rsidRPr="00C661E1" w:rsidRDefault="00C7570B" w:rsidP="00C7570B">
      <w:pPr>
        <w:ind w:left="5760" w:firstLine="720"/>
        <w:rPr>
          <w:rStyle w:val="normaltextrun"/>
          <w:rFonts w:ascii="Calibri" w:hAnsi="Calibri" w:cs="Calibri"/>
          <w:sz w:val="20"/>
          <w:szCs w:val="20"/>
        </w:rPr>
      </w:pPr>
      <w:r w:rsidRPr="00C661E1">
        <w:rPr>
          <w:rStyle w:val="normaltextrun"/>
          <w:rFonts w:ascii="Calibri" w:hAnsi="Calibri" w:cs="Calibri"/>
          <w:sz w:val="20"/>
          <w:szCs w:val="20"/>
        </w:rPr>
        <w:t>1=3/7=43%</w:t>
      </w:r>
    </w:p>
    <w:p w14:paraId="530D6F04" w14:textId="42E604B6" w:rsidR="00C7570B" w:rsidRPr="00C661E1" w:rsidRDefault="00C7570B" w:rsidP="00C7570B">
      <w:pPr>
        <w:ind w:left="5760" w:firstLine="720"/>
        <w:rPr>
          <w:sz w:val="20"/>
          <w:szCs w:val="20"/>
        </w:rPr>
      </w:pPr>
      <w:r w:rsidRPr="00C661E1">
        <w:rPr>
          <w:rStyle w:val="normaltextrun"/>
          <w:rFonts w:ascii="Calibri" w:hAnsi="Calibri" w:cs="Calibri"/>
          <w:sz w:val="20"/>
          <w:szCs w:val="20"/>
        </w:rPr>
        <w:t>0=0/7=0%</w:t>
      </w:r>
    </w:p>
    <w:p w14:paraId="3688F1E0" w14:textId="77777777" w:rsidR="00A81737" w:rsidRPr="00C661E1" w:rsidRDefault="00A81737" w:rsidP="00A81737">
      <w:pPr>
        <w:rPr>
          <w:b/>
          <w:sz w:val="20"/>
          <w:szCs w:val="20"/>
        </w:rPr>
      </w:pPr>
    </w:p>
    <w:p w14:paraId="3EB3E628" w14:textId="22275E22" w:rsidR="00A81737" w:rsidRPr="00C661E1" w:rsidRDefault="00C7570B" w:rsidP="00A81737">
      <w:pPr>
        <w:rPr>
          <w:sz w:val="20"/>
          <w:szCs w:val="20"/>
        </w:rPr>
      </w:pPr>
      <w:r w:rsidRPr="00C661E1">
        <w:rPr>
          <w:sz w:val="20"/>
          <w:szCs w:val="20"/>
        </w:rPr>
        <w:t>The overall course grade</w:t>
      </w:r>
      <w:r w:rsidR="00A81737" w:rsidRPr="00C661E1">
        <w:rPr>
          <w:sz w:val="20"/>
          <w:szCs w:val="20"/>
        </w:rPr>
        <w:t xml:space="preserve"> will be graded on the following scale:</w:t>
      </w:r>
      <w:r w:rsidR="00A81737" w:rsidRPr="00C661E1">
        <w:rPr>
          <w:sz w:val="20"/>
          <w:szCs w:val="20"/>
        </w:rPr>
        <w:tab/>
      </w:r>
      <w:r w:rsidR="00C661E1">
        <w:rPr>
          <w:sz w:val="20"/>
          <w:szCs w:val="20"/>
        </w:rPr>
        <w:tab/>
      </w:r>
      <w:r w:rsidR="00A81737" w:rsidRPr="00C661E1">
        <w:rPr>
          <w:sz w:val="20"/>
          <w:szCs w:val="20"/>
        </w:rPr>
        <w:t>A = 90% - 100%</w:t>
      </w:r>
    </w:p>
    <w:p w14:paraId="169166D3" w14:textId="34C04E01" w:rsidR="00A81737" w:rsidRPr="00C661E1" w:rsidRDefault="00A81737" w:rsidP="00A81737">
      <w:pPr>
        <w:rPr>
          <w:sz w:val="20"/>
          <w:szCs w:val="20"/>
        </w:rPr>
      </w:pPr>
      <w:r w:rsidRPr="00C661E1">
        <w:rPr>
          <w:sz w:val="20"/>
          <w:szCs w:val="20"/>
        </w:rPr>
        <w:tab/>
      </w:r>
      <w:r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Pr="00C661E1">
        <w:rPr>
          <w:sz w:val="20"/>
          <w:szCs w:val="20"/>
        </w:rPr>
        <w:t>B = 80% - 89%</w:t>
      </w:r>
    </w:p>
    <w:p w14:paraId="63225B68" w14:textId="18E9CB4F" w:rsidR="00A81737" w:rsidRPr="00C661E1" w:rsidRDefault="00A81737" w:rsidP="00A81737">
      <w:pPr>
        <w:rPr>
          <w:sz w:val="20"/>
          <w:szCs w:val="20"/>
        </w:rPr>
      </w:pPr>
      <w:r w:rsidRPr="00C661E1">
        <w:rPr>
          <w:sz w:val="20"/>
          <w:szCs w:val="20"/>
        </w:rPr>
        <w:tab/>
      </w:r>
      <w:r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Pr="00C661E1">
        <w:rPr>
          <w:sz w:val="20"/>
          <w:szCs w:val="20"/>
        </w:rPr>
        <w:t>C = 70% - 79%</w:t>
      </w:r>
    </w:p>
    <w:p w14:paraId="38198BCF" w14:textId="2B0B30FA" w:rsidR="00A81737" w:rsidRPr="00C661E1" w:rsidRDefault="00A81737" w:rsidP="00A81737">
      <w:pPr>
        <w:rPr>
          <w:sz w:val="20"/>
          <w:szCs w:val="20"/>
        </w:rPr>
      </w:pPr>
      <w:r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Pr="00C661E1">
        <w:rPr>
          <w:sz w:val="20"/>
          <w:szCs w:val="20"/>
        </w:rPr>
        <w:tab/>
        <w:t>D = 60% - 69%</w:t>
      </w:r>
    </w:p>
    <w:p w14:paraId="471554AC" w14:textId="0D4FA15F" w:rsidR="00A81737" w:rsidRPr="00C661E1" w:rsidRDefault="00A81737" w:rsidP="00A81737">
      <w:pPr>
        <w:rPr>
          <w:sz w:val="20"/>
          <w:szCs w:val="20"/>
        </w:rPr>
      </w:pPr>
      <w:r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="00C7570B" w:rsidRPr="00C661E1">
        <w:rPr>
          <w:sz w:val="20"/>
          <w:szCs w:val="20"/>
        </w:rPr>
        <w:tab/>
      </w:r>
      <w:r w:rsidRPr="00C661E1">
        <w:rPr>
          <w:sz w:val="20"/>
          <w:szCs w:val="20"/>
        </w:rPr>
        <w:tab/>
        <w:t>F = 59.99% and lower</w:t>
      </w:r>
    </w:p>
    <w:p w14:paraId="5DDC0AAB" w14:textId="5B52F460" w:rsidR="00C7570B" w:rsidRDefault="00C7570B" w:rsidP="00A81737"/>
    <w:p w14:paraId="1875DF4B" w14:textId="77777777" w:rsidR="00C661E1" w:rsidRPr="00A81737" w:rsidRDefault="00C661E1" w:rsidP="00A81737"/>
    <w:p w14:paraId="6191917B" w14:textId="77777777" w:rsidR="006A73EB" w:rsidRDefault="006A73EB"/>
    <w:sectPr w:rsidR="006A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OldStyleStd-Regular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71001"/>
    <w:multiLevelType w:val="hybridMultilevel"/>
    <w:tmpl w:val="49F6D7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F2235"/>
    <w:multiLevelType w:val="hybridMultilevel"/>
    <w:tmpl w:val="243208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9F"/>
    <w:rsid w:val="000411B3"/>
    <w:rsid w:val="00662FE4"/>
    <w:rsid w:val="006A73EB"/>
    <w:rsid w:val="008E4804"/>
    <w:rsid w:val="00A81737"/>
    <w:rsid w:val="00C661E1"/>
    <w:rsid w:val="00C7570B"/>
    <w:rsid w:val="00DB1CED"/>
    <w:rsid w:val="00F1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13F3"/>
  <w15:chartTrackingRefBased/>
  <w15:docId w15:val="{4E90439B-B3B9-6D4E-96E9-BFE65D2B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73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7570B"/>
  </w:style>
  <w:style w:type="character" w:customStyle="1" w:styleId="eop">
    <w:name w:val="eop"/>
    <w:basedOn w:val="DefaultParagraphFont"/>
    <w:rsid w:val="00C7570B"/>
  </w:style>
  <w:style w:type="paragraph" w:customStyle="1" w:styleId="paragraph">
    <w:name w:val="paragraph"/>
    <w:basedOn w:val="Normal"/>
    <w:rsid w:val="00C661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abchar">
    <w:name w:val="tabchar"/>
    <w:basedOn w:val="DefaultParagraphFont"/>
    <w:rsid w:val="00C6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ly.jones@leusd.k12.c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Jones</dc:creator>
  <cp:keywords/>
  <dc:description/>
  <cp:lastModifiedBy>Polly Jones</cp:lastModifiedBy>
  <cp:revision>2</cp:revision>
  <dcterms:created xsi:type="dcterms:W3CDTF">2020-10-06T21:14:00Z</dcterms:created>
  <dcterms:modified xsi:type="dcterms:W3CDTF">2020-10-06T21:14:00Z</dcterms:modified>
</cp:coreProperties>
</file>